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8CC4" w14:textId="77777777" w:rsidR="00CC4178" w:rsidRDefault="00CC4178" w:rsidP="00CC4178"/>
    <w:p w14:paraId="24289939" w14:textId="419049E3" w:rsidR="008D4148" w:rsidRDefault="008D4148" w:rsidP="00CC4178">
      <w:pPr>
        <w:pStyle w:val="Title"/>
      </w:pPr>
      <w:r>
        <w:t xml:space="preserve">Medical Appraiser </w:t>
      </w:r>
      <w:r w:rsidR="00CC4178">
        <w:t>Role</w:t>
      </w:r>
      <w:r>
        <w:t xml:space="preserve"> Description</w:t>
      </w:r>
    </w:p>
    <w:p w14:paraId="0813D3A8" w14:textId="1859DE22" w:rsidR="008D4148" w:rsidRDefault="00CC4178" w:rsidP="00CC4178">
      <w:pPr>
        <w:pStyle w:val="Subtitle"/>
      </w:pPr>
      <w:r>
        <w:t>In Scotland</w:t>
      </w:r>
    </w:p>
    <w:p w14:paraId="2429AF70" w14:textId="6819C15C" w:rsidR="00CC4178" w:rsidRPr="00C57701" w:rsidRDefault="00CC4178" w:rsidP="00CC4178">
      <w:pPr>
        <w:rPr>
          <w:sz w:val="20"/>
          <w:szCs w:val="20"/>
        </w:rPr>
      </w:pPr>
      <w:r w:rsidRPr="00C57701">
        <w:rPr>
          <w:sz w:val="20"/>
          <w:szCs w:val="20"/>
        </w:rPr>
        <w:t xml:space="preserve">LAST UPDATED DATE: </w:t>
      </w:r>
      <w:r w:rsidR="0042141E">
        <w:rPr>
          <w:sz w:val="20"/>
          <w:szCs w:val="20"/>
        </w:rPr>
        <w:t>20</w:t>
      </w:r>
      <w:r w:rsidRPr="00C57701">
        <w:rPr>
          <w:sz w:val="20"/>
          <w:szCs w:val="20"/>
        </w:rPr>
        <w:t>/0</w:t>
      </w:r>
      <w:r w:rsidR="0042141E">
        <w:rPr>
          <w:sz w:val="20"/>
          <w:szCs w:val="20"/>
        </w:rPr>
        <w:t>8</w:t>
      </w:r>
      <w:r w:rsidRPr="00C57701">
        <w:rPr>
          <w:sz w:val="20"/>
          <w:szCs w:val="20"/>
        </w:rPr>
        <w:t>/202</w:t>
      </w:r>
      <w:r w:rsidR="005B7491">
        <w:rPr>
          <w:sz w:val="20"/>
          <w:szCs w:val="20"/>
        </w:rPr>
        <w:t>5</w:t>
      </w:r>
      <w:r w:rsidRPr="00C57701">
        <w:rPr>
          <w:sz w:val="20"/>
          <w:szCs w:val="20"/>
        </w:rPr>
        <w:br/>
        <w:t xml:space="preserve">LAST UPDATED BY: William Liu </w:t>
      </w:r>
    </w:p>
    <w:p w14:paraId="219773A2" w14:textId="385FB4EC" w:rsidR="00CC4178" w:rsidRDefault="00CC4178" w:rsidP="00CC4178">
      <w:pPr>
        <w:rPr>
          <w:b/>
          <w:bCs/>
          <w:sz w:val="20"/>
          <w:szCs w:val="20"/>
        </w:rPr>
      </w:pPr>
      <w:r w:rsidRPr="00C57701">
        <w:rPr>
          <w:b/>
          <w:bCs/>
          <w:sz w:val="20"/>
          <w:szCs w:val="20"/>
        </w:rPr>
        <w:t xml:space="preserve">VERSION: </w:t>
      </w:r>
      <w:r w:rsidR="0091452E">
        <w:rPr>
          <w:b/>
          <w:bCs/>
          <w:sz w:val="20"/>
          <w:szCs w:val="20"/>
        </w:rPr>
        <w:t>0</w:t>
      </w:r>
      <w:r w:rsidRPr="00C57701">
        <w:rPr>
          <w:b/>
          <w:bCs/>
          <w:sz w:val="20"/>
          <w:szCs w:val="20"/>
        </w:rPr>
        <w:t>.</w:t>
      </w:r>
      <w:r w:rsidR="005B7491">
        <w:rPr>
          <w:b/>
          <w:bCs/>
          <w:sz w:val="20"/>
          <w:szCs w:val="20"/>
        </w:rPr>
        <w:t>4</w:t>
      </w:r>
      <w:r w:rsidR="00B64BB3">
        <w:rPr>
          <w:b/>
          <w:bCs/>
          <w:sz w:val="20"/>
          <w:szCs w:val="20"/>
        </w:rPr>
        <w:t>.1</w:t>
      </w:r>
    </w:p>
    <w:p w14:paraId="1977F218" w14:textId="71492676" w:rsidR="00723B67" w:rsidRPr="00223400" w:rsidRDefault="005A66C0" w:rsidP="00CC4178">
      <w:pPr>
        <w:rPr>
          <w:b/>
          <w:bCs/>
          <w:color w:val="FF0000"/>
          <w:sz w:val="20"/>
          <w:szCs w:val="20"/>
        </w:rPr>
      </w:pPr>
      <w:r w:rsidRPr="1D8C7751">
        <w:rPr>
          <w:b/>
          <w:bCs/>
          <w:color w:val="FF0000"/>
          <w:sz w:val="20"/>
          <w:szCs w:val="20"/>
        </w:rPr>
        <w:t xml:space="preserve">Recruitment and employment of medical appraisers is </w:t>
      </w:r>
      <w:r w:rsidR="00BB3124" w:rsidRPr="1D8C7751">
        <w:rPr>
          <w:b/>
          <w:bCs/>
          <w:color w:val="FF0000"/>
          <w:sz w:val="20"/>
          <w:szCs w:val="20"/>
        </w:rPr>
        <w:t>managed locally</w:t>
      </w:r>
      <w:r w:rsidR="00223400" w:rsidRPr="1D8C7751">
        <w:rPr>
          <w:b/>
          <w:bCs/>
          <w:color w:val="FF0000"/>
          <w:sz w:val="20"/>
          <w:szCs w:val="20"/>
        </w:rPr>
        <w:t xml:space="preserve"> by the health boards</w:t>
      </w:r>
      <w:r w:rsidR="00184EC7" w:rsidRPr="1D8C7751">
        <w:rPr>
          <w:b/>
          <w:bCs/>
          <w:color w:val="FF0000"/>
          <w:sz w:val="20"/>
          <w:szCs w:val="20"/>
        </w:rPr>
        <w:t xml:space="preserve"> who determine</w:t>
      </w:r>
      <w:r w:rsidR="00B42849" w:rsidRPr="1D8C7751">
        <w:rPr>
          <w:b/>
          <w:bCs/>
          <w:color w:val="FF0000"/>
          <w:sz w:val="20"/>
          <w:szCs w:val="20"/>
        </w:rPr>
        <w:t xml:space="preserve"> the overall suitability of the</w:t>
      </w:r>
      <w:r w:rsidR="00A42DE5" w:rsidRPr="1D8C7751">
        <w:rPr>
          <w:b/>
          <w:bCs/>
          <w:color w:val="FF0000"/>
          <w:sz w:val="20"/>
          <w:szCs w:val="20"/>
        </w:rPr>
        <w:t>ir</w:t>
      </w:r>
      <w:r w:rsidR="00B42849" w:rsidRPr="1D8C7751">
        <w:rPr>
          <w:b/>
          <w:bCs/>
          <w:color w:val="FF0000"/>
          <w:sz w:val="20"/>
          <w:szCs w:val="20"/>
        </w:rPr>
        <w:t xml:space="preserve"> appraiser workforce</w:t>
      </w:r>
      <w:r w:rsidR="004808EE">
        <w:rPr>
          <w:b/>
          <w:bCs/>
          <w:color w:val="FF0000"/>
          <w:sz w:val="20"/>
          <w:szCs w:val="20"/>
        </w:rPr>
        <w:t xml:space="preserve">.  </w:t>
      </w:r>
      <w:r w:rsidR="00A979AE" w:rsidRPr="00A979AE">
        <w:rPr>
          <w:b/>
          <w:bCs/>
          <w:color w:val="FF0000"/>
          <w:sz w:val="20"/>
          <w:szCs w:val="20"/>
        </w:rPr>
        <w:t>This document is intended as our preferred template for boards to use and adapt in individual circumstances discussed with the local RO</w:t>
      </w:r>
      <w:r w:rsidR="00DE19A5" w:rsidRPr="1D8C7751">
        <w:rPr>
          <w:b/>
          <w:bCs/>
          <w:color w:val="FF0000"/>
          <w:sz w:val="20"/>
          <w:szCs w:val="20"/>
        </w:rPr>
        <w:t>.</w:t>
      </w:r>
    </w:p>
    <w:p w14:paraId="27425006" w14:textId="6CCC476B" w:rsidR="00D26EC0" w:rsidRDefault="008B127C" w:rsidP="00CC4178">
      <w:r>
        <w:t xml:space="preserve">Medical </w:t>
      </w:r>
      <w:r w:rsidR="00182859">
        <w:t>r</w:t>
      </w:r>
      <w:r>
        <w:t xml:space="preserve">evalidation is </w:t>
      </w:r>
      <w:r w:rsidR="004F7D30">
        <w:t xml:space="preserve">the process </w:t>
      </w:r>
      <w:r w:rsidR="59886274">
        <w:t>by which</w:t>
      </w:r>
      <w:r w:rsidR="004F7D30">
        <w:t xml:space="preserve"> all doctors in the UK undertake to renew their licence to practice</w:t>
      </w:r>
      <w:r w:rsidR="0EE0AE47">
        <w:t xml:space="preserve"> with the GMC</w:t>
      </w:r>
      <w:r w:rsidR="004F7D30">
        <w:t>.  Central to this 5-year process is the doctors</w:t>
      </w:r>
      <w:r w:rsidR="004B6B9B">
        <w:t>’</w:t>
      </w:r>
      <w:r w:rsidR="004F7D30">
        <w:t xml:space="preserve"> engagement </w:t>
      </w:r>
      <w:r w:rsidR="7A35EFDB">
        <w:t>with</w:t>
      </w:r>
      <w:r w:rsidR="004F7D30">
        <w:t xml:space="preserve"> annual appraisals.</w:t>
      </w:r>
    </w:p>
    <w:p w14:paraId="7AC3CD25" w14:textId="17A492DB" w:rsidR="00DD158D" w:rsidRDefault="00DD158D" w:rsidP="00CC4178">
      <w:r>
        <w:t>In Scotland, to ensure a consistency in approach and quality</w:t>
      </w:r>
      <w:r w:rsidR="002062C3">
        <w:t xml:space="preserve">, it was agreed </w:t>
      </w:r>
      <w:r w:rsidR="00515526">
        <w:t>by the national steering group</w:t>
      </w:r>
      <w:r w:rsidR="002062C3">
        <w:t xml:space="preserve"> that </w:t>
      </w:r>
      <w:r w:rsidR="00A30E66">
        <w:t xml:space="preserve">NHS Education for Scotland </w:t>
      </w:r>
      <w:r w:rsidR="00D614C6">
        <w:t>(</w:t>
      </w:r>
      <w:r w:rsidR="002062C3">
        <w:t>NES</w:t>
      </w:r>
      <w:r w:rsidR="00D614C6">
        <w:t>)</w:t>
      </w:r>
      <w:r w:rsidR="002062C3">
        <w:t xml:space="preserve"> would be the provider of appraiser training for those </w:t>
      </w:r>
      <w:r w:rsidR="0003196F">
        <w:t xml:space="preserve">doctors who wish to take up the role of </w:t>
      </w:r>
      <w:r w:rsidR="49E2BC99">
        <w:t>a</w:t>
      </w:r>
      <w:r w:rsidR="00DF1F36">
        <w:t xml:space="preserve"> medical</w:t>
      </w:r>
      <w:r w:rsidR="0003196F">
        <w:t xml:space="preserve"> appraiser.</w:t>
      </w:r>
    </w:p>
    <w:p w14:paraId="7006947F" w14:textId="2EC5FA0D" w:rsidR="00D26EC0" w:rsidRDefault="00621023" w:rsidP="00CC4178">
      <w:r>
        <w:t>This document descri</w:t>
      </w:r>
      <w:r w:rsidR="00AF6596">
        <w:t>be</w:t>
      </w:r>
      <w:r>
        <w:t xml:space="preserve">s the role of the </w:t>
      </w:r>
      <w:r w:rsidR="00564279">
        <w:t xml:space="preserve">medical appraiser in Scotland.  </w:t>
      </w:r>
      <w:r w:rsidR="0003196F">
        <w:t>There are some</w:t>
      </w:r>
      <w:r w:rsidR="003F38FC">
        <w:t xml:space="preserve"> </w:t>
      </w:r>
      <w:r w:rsidR="00BF1A5E" w:rsidRPr="00BF1A5E">
        <w:t>nuance</w:t>
      </w:r>
      <w:r w:rsidR="00BF1A5E">
        <w:t>s</w:t>
      </w:r>
      <w:r w:rsidR="00BF1A5E" w:rsidRPr="00BF1A5E">
        <w:t xml:space="preserve"> </w:t>
      </w:r>
      <w:r w:rsidR="0003196F">
        <w:t xml:space="preserve">between </w:t>
      </w:r>
      <w:r w:rsidR="0003196F" w:rsidRPr="005F0BD2">
        <w:rPr>
          <w:color w:val="4472C4" w:themeColor="accent1"/>
        </w:rPr>
        <w:t xml:space="preserve">primary (GPs) </w:t>
      </w:r>
      <w:r w:rsidR="0003196F">
        <w:t xml:space="preserve">and </w:t>
      </w:r>
      <w:r w:rsidR="0003196F" w:rsidRPr="005F0BD2">
        <w:rPr>
          <w:color w:val="7030A0"/>
        </w:rPr>
        <w:t xml:space="preserve">secondary care </w:t>
      </w:r>
      <w:r w:rsidR="00515526">
        <w:t>appraisers</w:t>
      </w:r>
      <w:r w:rsidR="0003196F">
        <w:t xml:space="preserve"> and </w:t>
      </w:r>
      <w:r w:rsidR="00564279">
        <w:t xml:space="preserve">this is highlighted </w:t>
      </w:r>
      <w:r w:rsidR="0003196F">
        <w:t>where applicable.</w:t>
      </w:r>
    </w:p>
    <w:p w14:paraId="07473499" w14:textId="79D724D4" w:rsidR="007E3516" w:rsidRDefault="007E3516" w:rsidP="007E3516">
      <w:r w:rsidRPr="00A8589F">
        <w:rPr>
          <w:shd w:val="clear" w:color="auto" w:fill="FFE599" w:themeFill="accent4" w:themeFillTint="66"/>
        </w:rPr>
        <w:t xml:space="preserve">Items highlighted </w:t>
      </w:r>
      <w:r w:rsidR="00A70842">
        <w:rPr>
          <w:shd w:val="clear" w:color="auto" w:fill="FFE599" w:themeFill="accent4" w:themeFillTint="66"/>
        </w:rPr>
        <w:t xml:space="preserve">in yellow </w:t>
      </w:r>
      <w:r w:rsidRPr="00A8589F">
        <w:rPr>
          <w:shd w:val="clear" w:color="auto" w:fill="FFE599" w:themeFill="accent4" w:themeFillTint="66"/>
        </w:rPr>
        <w:t>require health board clarifications.</w:t>
      </w:r>
    </w:p>
    <w:p w14:paraId="7C168708" w14:textId="77777777" w:rsidR="007E3516" w:rsidRPr="00CC4178" w:rsidRDefault="007E3516" w:rsidP="00CC4178"/>
    <w:p w14:paraId="448AEB9C" w14:textId="2DE5DBB2" w:rsidR="008D4148" w:rsidRDefault="008D4148" w:rsidP="00CC4178">
      <w:pPr>
        <w:pStyle w:val="Heading1"/>
      </w:pPr>
      <w:r>
        <w:t>Section 1</w:t>
      </w:r>
      <w:r w:rsidR="00896650">
        <w:t>:</w:t>
      </w:r>
      <w:r>
        <w:t xml:space="preserve"> </w:t>
      </w:r>
      <w:r w:rsidR="00E41238">
        <w:t xml:space="preserve"> </w:t>
      </w:r>
      <w:r w:rsidR="00896650">
        <w:t>Role</w:t>
      </w:r>
      <w:r>
        <w:t xml:space="preserve"> Purpose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CC4178" w14:paraId="1EE2D51B" w14:textId="77777777" w:rsidTr="00D26EC0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3AFAA9" w14:textId="29F24D68" w:rsidR="00CC4178" w:rsidRDefault="00CC4178" w:rsidP="00CC4178">
            <w:r w:rsidRPr="008D4148">
              <w:rPr>
                <w:b/>
                <w:bCs/>
              </w:rPr>
              <w:t>Post Title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AF01BF" w14:textId="271D4F30" w:rsidR="00CC4178" w:rsidRDefault="00CC4178" w:rsidP="00CC4178">
            <w:r w:rsidRPr="008D4148">
              <w:t>Medical Appraiser</w:t>
            </w:r>
          </w:p>
        </w:tc>
      </w:tr>
      <w:tr w:rsidR="00CC4178" w14:paraId="404E07D7" w14:textId="77777777" w:rsidTr="00A8589F">
        <w:tc>
          <w:tcPr>
            <w:tcW w:w="2122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1622AE" w14:textId="2B139971" w:rsidR="00CC4178" w:rsidRDefault="00CC4178" w:rsidP="00CC4178">
            <w:r w:rsidRPr="008D4148">
              <w:rPr>
                <w:b/>
                <w:bCs/>
              </w:rPr>
              <w:t>Accountability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3D5E0E" w14:textId="0D9F9DF4" w:rsidR="002231A2" w:rsidRDefault="00523747" w:rsidP="002231A2">
            <w:r>
              <w:t>You will be employed by your health board so please discuss with your Appraisal Lead.</w:t>
            </w:r>
          </w:p>
        </w:tc>
      </w:tr>
      <w:tr w:rsidR="00CC4178" w14:paraId="58B33B17" w14:textId="77777777" w:rsidTr="00D26EC0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E2946" w14:textId="78B3F6E5" w:rsidR="00CC4178" w:rsidRPr="008D4148" w:rsidRDefault="00CC4178" w:rsidP="00CC4178">
            <w:pPr>
              <w:rPr>
                <w:b/>
                <w:bCs/>
              </w:rPr>
            </w:pPr>
            <w:r w:rsidRPr="008D4148">
              <w:rPr>
                <w:b/>
                <w:bCs/>
              </w:rPr>
              <w:t>Purpose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672D76" w14:textId="7BC5617A" w:rsidR="00CC4178" w:rsidRDefault="00F82A26" w:rsidP="00CC4178">
            <w:r>
              <w:t>Medical</w:t>
            </w:r>
            <w:r w:rsidR="00CC4178">
              <w:t xml:space="preserve"> </w:t>
            </w:r>
            <w:r w:rsidR="00655429">
              <w:t>a</w:t>
            </w:r>
            <w:r w:rsidR="00CC4178">
              <w:t>ppraisal is a formative</w:t>
            </w:r>
            <w:r w:rsidR="00601416">
              <w:t xml:space="preserve"> and developmental process</w:t>
            </w:r>
            <w:r w:rsidR="00737C21">
              <w:t xml:space="preserve"> allowing </w:t>
            </w:r>
            <w:r w:rsidR="001449FF">
              <w:t xml:space="preserve">doctors </w:t>
            </w:r>
            <w:r w:rsidR="00CC4178">
              <w:t xml:space="preserve">to reflect on </w:t>
            </w:r>
            <w:r w:rsidR="00EF32B4">
              <w:t xml:space="preserve">their </w:t>
            </w:r>
            <w:r w:rsidR="00C7043F">
              <w:t>whole scope of practice</w:t>
            </w:r>
            <w:r w:rsidR="00CC4178">
              <w:t xml:space="preserve">. The appraiser’s role is to act as a peer appraiser of their colleagues, using the </w:t>
            </w:r>
            <w:r w:rsidR="00833142">
              <w:t xml:space="preserve">communication </w:t>
            </w:r>
            <w:r w:rsidR="00CC4178">
              <w:t>skills and processes that are standard to the national appraisal scheme.</w:t>
            </w:r>
          </w:p>
          <w:p w14:paraId="4AE77290" w14:textId="77777777" w:rsidR="006E4FA7" w:rsidRPr="009D4242" w:rsidRDefault="006E4FA7" w:rsidP="00CC4178">
            <w:pPr>
              <w:rPr>
                <w:sz w:val="8"/>
                <w:szCs w:val="8"/>
              </w:rPr>
            </w:pPr>
          </w:p>
          <w:p w14:paraId="46021382" w14:textId="3DDE17FF" w:rsidR="00BC732F" w:rsidRDefault="006E4FA7" w:rsidP="00BC732F">
            <w:r>
              <w:t>A</w:t>
            </w:r>
            <w:r w:rsidR="00BE0ED3">
              <w:t>nnual a</w:t>
            </w:r>
            <w:r>
              <w:t xml:space="preserve">ppraisal </w:t>
            </w:r>
            <w:r w:rsidR="000E6B38">
              <w:t xml:space="preserve">(along with other information available to the RO) </w:t>
            </w:r>
            <w:r w:rsidR="001038F0">
              <w:t>also helps inform the</w:t>
            </w:r>
            <w:r w:rsidR="00BC732F">
              <w:t xml:space="preserve"> General Medical Council’s (GMC) five-yearly revalidation process, developed to ensure that individual doctors can demonstrate positively that they remain fit to practise.</w:t>
            </w:r>
          </w:p>
        </w:tc>
      </w:tr>
      <w:tr w:rsidR="00CC4178" w14:paraId="76E46953" w14:textId="77777777" w:rsidTr="00A8589F">
        <w:tc>
          <w:tcPr>
            <w:tcW w:w="2122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52094" w14:textId="41E3A055" w:rsidR="00CC4178" w:rsidRPr="008D4148" w:rsidRDefault="00CC4178" w:rsidP="00CC4178">
            <w:pPr>
              <w:rPr>
                <w:b/>
                <w:bCs/>
              </w:rPr>
            </w:pPr>
            <w:r w:rsidRPr="008D4148">
              <w:rPr>
                <w:b/>
                <w:bCs/>
              </w:rPr>
              <w:t>Commitment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9FC20D" w14:textId="5D603A4D" w:rsidR="00CC4178" w:rsidRDefault="00CC4178" w:rsidP="00CC4178">
            <w:r>
              <w:t>As agreed with employing NHSScotland health board.</w:t>
            </w:r>
          </w:p>
        </w:tc>
      </w:tr>
    </w:tbl>
    <w:p w14:paraId="70DBD1FA" w14:textId="77777777" w:rsidR="00D26EC0" w:rsidRDefault="00D26E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266FAB2" w14:textId="61FBE4C7" w:rsidR="008D4148" w:rsidRDefault="008D4148" w:rsidP="00723A47">
      <w:pPr>
        <w:pStyle w:val="Heading1"/>
      </w:pPr>
      <w:r>
        <w:lastRenderedPageBreak/>
        <w:t xml:space="preserve">Section 2: </w:t>
      </w:r>
      <w:r w:rsidR="00E41238">
        <w:t xml:space="preserve"> </w:t>
      </w:r>
      <w:r>
        <w:t xml:space="preserve">Duties </w:t>
      </w:r>
      <w:r w:rsidR="00E41238">
        <w:t>and responsibil</w:t>
      </w:r>
      <w:r w:rsidR="001E2BD6">
        <w:t>ities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D26EC0" w14:paraId="25AD2487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A4603A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C79E6" w14:textId="5A10EB4A" w:rsidR="00E26708" w:rsidRDefault="00D26EC0" w:rsidP="00761EA9">
            <w:r>
              <w:t xml:space="preserve">To conduct appraisals according to the aims and objectives of the </w:t>
            </w:r>
            <w:r w:rsidR="0089288E">
              <w:t>medical</w:t>
            </w:r>
            <w:r>
              <w:t xml:space="preserve"> appraisal scheme in Scotland</w:t>
            </w:r>
            <w:r w:rsidR="00E26708">
              <w:t>.</w:t>
            </w:r>
          </w:p>
        </w:tc>
      </w:tr>
      <w:tr w:rsidR="004856B4" w14:paraId="3A6AB5C3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627939" w14:textId="77777777" w:rsidR="004856B4" w:rsidRDefault="004856B4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D1605D" w14:textId="5A7E06A0" w:rsidR="004856B4" w:rsidRDefault="004856B4" w:rsidP="00D26EC0">
            <w:r>
              <w:t>To familiarise</w:t>
            </w:r>
            <w:r w:rsidR="00FC0185">
              <w:t xml:space="preserve"> yourself with </w:t>
            </w:r>
            <w:hyperlink r:id="rId11" w:history="1">
              <w:r w:rsidR="00CF5B4D" w:rsidRPr="00D208B1">
                <w:rPr>
                  <w:rStyle w:val="Hyperlink"/>
                </w:rPr>
                <w:t>Medical Appraisal Scotland website</w:t>
              </w:r>
            </w:hyperlink>
            <w:r w:rsidR="00CF5B4D">
              <w:t xml:space="preserve"> (including </w:t>
            </w:r>
            <w:hyperlink r:id="rId12" w:history="1">
              <w:r w:rsidR="00CF5B4D" w:rsidRPr="00150FCC">
                <w:rPr>
                  <w:rStyle w:val="Hyperlink"/>
                </w:rPr>
                <w:t>SOAR</w:t>
              </w:r>
            </w:hyperlink>
            <w:r w:rsidR="00CF5B4D">
              <w:t>).</w:t>
            </w:r>
            <w:r>
              <w:t xml:space="preserve"> </w:t>
            </w:r>
          </w:p>
        </w:tc>
      </w:tr>
      <w:tr w:rsidR="00D26EC0" w14:paraId="600FE7FF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5F1CD1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16C99" w14:textId="02F61D60" w:rsidR="00D26EC0" w:rsidRDefault="00D26EC0" w:rsidP="00D26EC0">
            <w:r>
              <w:t>To manage time effectively that allow</w:t>
            </w:r>
            <w:r w:rsidR="00AF6FE6">
              <w:t>s</w:t>
            </w:r>
            <w:r>
              <w:t xml:space="preserve"> for the support, </w:t>
            </w:r>
            <w:r w:rsidR="00893C94">
              <w:t xml:space="preserve">meeting </w:t>
            </w:r>
            <w:r>
              <w:t xml:space="preserve">and </w:t>
            </w:r>
            <w:r w:rsidR="00250397">
              <w:t>documentation</w:t>
            </w:r>
            <w:r>
              <w:t xml:space="preserve"> for each appraisee.</w:t>
            </w:r>
          </w:p>
        </w:tc>
      </w:tr>
      <w:tr w:rsidR="00100FD6" w14:paraId="61A5D230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FC4DF8" w14:textId="77777777" w:rsidR="00100FD6" w:rsidRDefault="00100FD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7E842" w14:textId="17D98B61" w:rsidR="00100FD6" w:rsidRDefault="00100FD6" w:rsidP="00D26EC0">
            <w:r w:rsidRPr="00100FD6">
              <w:t xml:space="preserve">Where </w:t>
            </w:r>
            <w:r w:rsidR="00090031">
              <w:t>applicable</w:t>
            </w:r>
            <w:r w:rsidRPr="00100FD6">
              <w:t xml:space="preserve">, link with </w:t>
            </w:r>
            <w:r w:rsidR="00A50657">
              <w:t>u</w:t>
            </w:r>
            <w:r w:rsidR="00A50657" w:rsidRPr="00100FD6">
              <w:t xml:space="preserve">niversity </w:t>
            </w:r>
            <w:r w:rsidRPr="00100FD6">
              <w:t xml:space="preserve">appraiser </w:t>
            </w:r>
            <w:r w:rsidR="00131334">
              <w:t>for</w:t>
            </w:r>
            <w:r w:rsidRPr="00100FD6">
              <w:t xml:space="preserve"> joint appraisal </w:t>
            </w:r>
            <w:r w:rsidR="00131334">
              <w:t>with</w:t>
            </w:r>
            <w:r w:rsidR="00131334" w:rsidRPr="00100FD6">
              <w:t xml:space="preserve"> </w:t>
            </w:r>
            <w:r w:rsidRPr="00100FD6">
              <w:t>clinical academics.</w:t>
            </w:r>
          </w:p>
        </w:tc>
      </w:tr>
      <w:tr w:rsidR="00575452" w14:paraId="2785A622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C09B6F" w14:textId="77777777" w:rsidR="00575452" w:rsidRDefault="00575452" w:rsidP="00D7524C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7EA55" w14:textId="77777777" w:rsidR="00575452" w:rsidRDefault="00575452" w:rsidP="00D7524C">
            <w:r>
              <w:t>To prepare for the appraisal by reviewing materials the appraisee has submitted, with adequate time to contact the appraisee should further information be needed.</w:t>
            </w:r>
          </w:p>
        </w:tc>
      </w:tr>
      <w:tr w:rsidR="007A36E6" w14:paraId="1A4C71BB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D524F1" w14:textId="77777777" w:rsidR="007A36E6" w:rsidRDefault="007A36E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6F61D" w14:textId="2CDF4BD2" w:rsidR="007A36E6" w:rsidRDefault="007A36E6" w:rsidP="00D26EC0">
            <w:r w:rsidRPr="007B29CB">
              <w:t xml:space="preserve">To support and </w:t>
            </w:r>
            <w:r w:rsidR="00171F68">
              <w:t xml:space="preserve">appropriately </w:t>
            </w:r>
            <w:r w:rsidRPr="007B29CB">
              <w:t>challenge the appraisee in their reflections re their practice</w:t>
            </w:r>
            <w:r w:rsidR="00E006CF">
              <w:t>;</w:t>
            </w:r>
            <w:r w:rsidRPr="007B29CB">
              <w:t xml:space="preserve"> and</w:t>
            </w:r>
            <w:r w:rsidR="00485AB1">
              <w:t xml:space="preserve"> provide </w:t>
            </w:r>
            <w:r w:rsidRPr="007B29CB">
              <w:t xml:space="preserve">feedback </w:t>
            </w:r>
            <w:r w:rsidR="009E1376">
              <w:t>/</w:t>
            </w:r>
            <w:r w:rsidR="009E1376" w:rsidRPr="007B29CB">
              <w:t xml:space="preserve"> </w:t>
            </w:r>
            <w:r w:rsidRPr="007B29CB">
              <w:t xml:space="preserve">guidance re the quality of supporting information </w:t>
            </w:r>
            <w:r w:rsidR="00DD2139">
              <w:t>submitted</w:t>
            </w:r>
            <w:r w:rsidR="00933DB3">
              <w:t>.</w:t>
            </w:r>
          </w:p>
        </w:tc>
      </w:tr>
      <w:tr w:rsidR="0048323A" w14:paraId="1576240F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069D5B" w14:textId="77777777" w:rsidR="0048323A" w:rsidRDefault="0048323A" w:rsidP="009410F4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F8034" w14:textId="4D1136E0" w:rsidR="0048323A" w:rsidRPr="00C056CC" w:rsidRDefault="494B730D" w:rsidP="009410F4">
            <w:r>
              <w:t>To complete all appraisal documentation (e.g. Form 4, Form 6 etc) in a timely manner (typically no longer than 2 weeks post-appraisal)</w:t>
            </w:r>
          </w:p>
        </w:tc>
      </w:tr>
      <w:tr w:rsidR="00690AA6" w14:paraId="06FBF874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EF0CA" w14:textId="77777777" w:rsidR="00690AA6" w:rsidRDefault="00690AA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8824E3" w14:textId="4395831A" w:rsidR="00690AA6" w:rsidRDefault="00690AA6" w:rsidP="00D26EC0">
            <w:r>
              <w:t xml:space="preserve">To </w:t>
            </w:r>
            <w:r w:rsidR="007C36DF">
              <w:t xml:space="preserve">agree </w:t>
            </w:r>
            <w:r>
              <w:t xml:space="preserve">PDP with appraisee </w:t>
            </w:r>
            <w:r w:rsidR="00653BAF">
              <w:t xml:space="preserve">and document on Form 4 </w:t>
            </w:r>
            <w:r>
              <w:t xml:space="preserve">following the </w:t>
            </w:r>
            <w:r w:rsidR="005F54BB">
              <w:t>appraisal.</w:t>
            </w:r>
          </w:p>
        </w:tc>
      </w:tr>
      <w:tr w:rsidR="00D26EC0" w14:paraId="0D3E75DD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9B0D9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19339" w14:textId="5595FD39" w:rsidR="006B1511" w:rsidRDefault="00D26EC0" w:rsidP="00D26EC0">
            <w:r>
              <w:t xml:space="preserve">To </w:t>
            </w:r>
            <w:r w:rsidR="000A6C26">
              <w:t>encourage</w:t>
            </w:r>
            <w:r w:rsidR="00EA2041">
              <w:t xml:space="preserve"> appraisees’</w:t>
            </w:r>
            <w:r w:rsidR="000A6C26">
              <w:t xml:space="preserve"> completion of</w:t>
            </w:r>
            <w:r>
              <w:t xml:space="preserve"> feedback </w:t>
            </w:r>
            <w:r w:rsidR="00C42F80">
              <w:t>(Form 6</w:t>
            </w:r>
            <w:r w:rsidR="004C49AE">
              <w:t>A</w:t>
            </w:r>
            <w:r w:rsidR="00C42F80">
              <w:t xml:space="preserve">) </w:t>
            </w:r>
            <w:r w:rsidR="00EA2041">
              <w:t>at conclusion of</w:t>
            </w:r>
            <w:r>
              <w:t xml:space="preserve"> </w:t>
            </w:r>
            <w:r w:rsidR="00C42F80">
              <w:t>appraisal</w:t>
            </w:r>
            <w:r w:rsidR="004C49AE">
              <w:t>; and complete your own Form 6B as appraiser</w:t>
            </w:r>
            <w:r>
              <w:t>.</w:t>
            </w:r>
          </w:p>
          <w:p w14:paraId="7FA237AA" w14:textId="76204FA4" w:rsidR="00D26EC0" w:rsidRDefault="00F04C98" w:rsidP="00D26EC0">
            <w:r w:rsidRPr="00A8589F">
              <w:rPr>
                <w:i/>
                <w:iCs/>
              </w:rPr>
              <w:t>(Anonymised feedback report is collated on SOAR for you to use as a reflective</w:t>
            </w:r>
            <w:r w:rsidR="004A6C74" w:rsidRPr="00A8589F">
              <w:rPr>
                <w:i/>
                <w:iCs/>
              </w:rPr>
              <w:t xml:space="preserve"> resource.)</w:t>
            </w:r>
          </w:p>
        </w:tc>
      </w:tr>
      <w:tr w:rsidR="00D26EC0" w14:paraId="3CDBC241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93C06C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2CCC0D" w14:textId="509C41E9" w:rsidR="00D26EC0" w:rsidRDefault="0097142B" w:rsidP="00D26EC0">
            <w:r>
              <w:t>Where appliable, discuss with the loc</w:t>
            </w:r>
            <w:r w:rsidR="00D26EC0">
              <w:t xml:space="preserve">al Appraisal </w:t>
            </w:r>
            <w:r>
              <w:t>Lead and</w:t>
            </w:r>
            <w:r w:rsidR="00D26EC0">
              <w:t xml:space="preserve"> complete</w:t>
            </w:r>
            <w:r>
              <w:t xml:space="preserve"> a</w:t>
            </w:r>
            <w:r w:rsidR="00D26EC0">
              <w:t xml:space="preserve"> Notification of </w:t>
            </w:r>
            <w:r w:rsidR="0010532B">
              <w:t>Non-Participation</w:t>
            </w:r>
            <w:r w:rsidR="00D26EC0">
              <w:t xml:space="preserve"> in Appraisal </w:t>
            </w:r>
            <w:r w:rsidR="0010532B">
              <w:t xml:space="preserve">(Form 5) </w:t>
            </w:r>
            <w:r w:rsidR="00D26EC0">
              <w:t xml:space="preserve">for every appraisal that is </w:t>
            </w:r>
            <w:r w:rsidR="00624BDF">
              <w:t xml:space="preserve">not </w:t>
            </w:r>
            <w:r w:rsidR="00D26EC0">
              <w:t>completed</w:t>
            </w:r>
            <w:r w:rsidR="00EF00F4">
              <w:t>:</w:t>
            </w:r>
          </w:p>
          <w:p w14:paraId="1F73704C" w14:textId="77777777" w:rsidR="00EF00F4" w:rsidRDefault="00EF00F4" w:rsidP="00EF00F4">
            <w:pPr>
              <w:pStyle w:val="ListParagraph"/>
              <w:numPr>
                <w:ilvl w:val="0"/>
                <w:numId w:val="5"/>
              </w:numPr>
            </w:pPr>
            <w:r>
              <w:t xml:space="preserve">Form 5A </w:t>
            </w:r>
            <w:r w:rsidR="001875F0">
              <w:t>is for exemption from appraisal (e.g. mat leave, sabbatical, sick leave etc)</w:t>
            </w:r>
          </w:p>
          <w:p w14:paraId="3A49D0CB" w14:textId="0415F409" w:rsidR="001875F0" w:rsidRDefault="001875F0" w:rsidP="00EF00F4">
            <w:pPr>
              <w:pStyle w:val="ListParagraph"/>
              <w:numPr>
                <w:ilvl w:val="0"/>
                <w:numId w:val="5"/>
              </w:numPr>
            </w:pPr>
            <w:r>
              <w:t>Form 5B is for non-engagement</w:t>
            </w:r>
          </w:p>
        </w:tc>
      </w:tr>
      <w:tr w:rsidR="00D26EC0" w14:paraId="10359A9E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573684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31E12" w14:textId="61D3A5A4" w:rsidR="00D26EC0" w:rsidRDefault="00D26EC0" w:rsidP="00D26EC0">
            <w:r>
              <w:t>To observe the guidelines on Data Protection and Confidentiality at all times.</w:t>
            </w:r>
          </w:p>
        </w:tc>
      </w:tr>
      <w:tr w:rsidR="00D26EC0" w14:paraId="575BF59A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60ECC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E25ECF" w14:textId="5B9C3B5A" w:rsidR="00D26EC0" w:rsidRDefault="00D26EC0" w:rsidP="00D26EC0">
            <w:r>
              <w:t xml:space="preserve">To attend at least </w:t>
            </w:r>
            <w:r w:rsidR="00437FBB">
              <w:t xml:space="preserve">two </w:t>
            </w:r>
            <w:r>
              <w:t xml:space="preserve">national appraisal review or </w:t>
            </w:r>
            <w:r w:rsidR="36C58346">
              <w:t xml:space="preserve">local </w:t>
            </w:r>
            <w:r>
              <w:t>training meeting per annum</w:t>
            </w:r>
            <w:r w:rsidR="2E559C2F">
              <w:t xml:space="preserve"> (e.g. NES Appraiser Conference; NES Refresher programme)</w:t>
            </w:r>
            <w:r>
              <w:t>.</w:t>
            </w:r>
          </w:p>
        </w:tc>
      </w:tr>
      <w:tr w:rsidR="00B3751A" w14:paraId="5945C1D8" w14:textId="77777777" w:rsidTr="1D8C7751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F83CA0" w14:textId="77777777" w:rsidR="00B3751A" w:rsidRDefault="00B3751A" w:rsidP="00D7524C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A9A7E" w14:textId="46970B31" w:rsidR="00B3751A" w:rsidRDefault="00B3751A" w:rsidP="00D7524C">
            <w:r>
              <w:t xml:space="preserve">Regardless </w:t>
            </w:r>
            <w:r w:rsidR="000C02F9">
              <w:t>of an annual review, all appraisers are encouraged to reflect on any feedback received</w:t>
            </w:r>
            <w:r w:rsidR="009A7327">
              <w:t>;</w:t>
            </w:r>
            <w:r w:rsidR="000C02F9">
              <w:t xml:space="preserve"> and </w:t>
            </w:r>
            <w:r>
              <w:t xml:space="preserve">discuss </w:t>
            </w:r>
            <w:r w:rsidR="00725392">
              <w:t>their</w:t>
            </w:r>
            <w:r>
              <w:t xml:space="preserve"> appraiser role as part of </w:t>
            </w:r>
            <w:r w:rsidR="00725392">
              <w:t>their</w:t>
            </w:r>
            <w:r>
              <w:t xml:space="preserve"> own whole-practice appraisal.</w:t>
            </w:r>
          </w:p>
        </w:tc>
      </w:tr>
    </w:tbl>
    <w:p w14:paraId="1FD27308" w14:textId="712057D5" w:rsidR="00D82CA1" w:rsidRDefault="00D82CA1" w:rsidP="008D4148"/>
    <w:p w14:paraId="7CB06F54" w14:textId="6091F98A" w:rsidR="008F74B0" w:rsidRDefault="008F74B0" w:rsidP="008D4148">
      <w:r>
        <w:t xml:space="preserve">Remember, appraisal is a supportive tool designed to </w:t>
      </w:r>
      <w:r w:rsidR="00546F5E">
        <w:t>aid the development of your peers.</w:t>
      </w:r>
      <w:r w:rsidR="00555CA6">
        <w:t xml:space="preserve">  If</w:t>
      </w:r>
      <w:r w:rsidR="00247A69">
        <w:t xml:space="preserve"> you are unsure about how to resolve particular </w:t>
      </w:r>
      <w:r w:rsidR="00F25AD4">
        <w:t>challenging appraisal situations</w:t>
      </w:r>
      <w:r w:rsidR="007F517B">
        <w:t>, please contact the local Appraisal Lead(s) for help and support.</w:t>
      </w:r>
    </w:p>
    <w:p w14:paraId="00F5EC4E" w14:textId="3C134EBE" w:rsidR="00D26EC0" w:rsidRDefault="00D26EC0">
      <w:r>
        <w:br w:type="page"/>
      </w:r>
    </w:p>
    <w:p w14:paraId="7784C1EB" w14:textId="03F46909" w:rsidR="008D4148" w:rsidRDefault="008D4148" w:rsidP="00723A47">
      <w:pPr>
        <w:pStyle w:val="Heading1"/>
      </w:pPr>
      <w:r>
        <w:lastRenderedPageBreak/>
        <w:t>Section 3: Personal Specification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4536"/>
        <w:gridCol w:w="2500"/>
      </w:tblGrid>
      <w:tr w:rsidR="008D4148" w:rsidRPr="00D26EC0" w14:paraId="02EBBC9C" w14:textId="77777777" w:rsidTr="1D8C7751"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AC9E26" w14:textId="77777777" w:rsidR="008D4148" w:rsidRPr="00D26EC0" w:rsidRDefault="008D4148" w:rsidP="008D4148">
            <w:pPr>
              <w:rPr>
                <w:b/>
                <w:bCs/>
              </w:rPr>
            </w:pP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3BE7FA" w14:textId="6EC0F816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Essential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3F494B" w14:textId="7E24B3AC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Desirable</w:t>
            </w:r>
          </w:p>
        </w:tc>
      </w:tr>
      <w:tr w:rsidR="008D4148" w14:paraId="2C5B2D1A" w14:textId="77777777" w:rsidTr="1D8C7751"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AF518A" w14:textId="29AF0994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Experience</w:t>
            </w:r>
          </w:p>
        </w:tc>
        <w:tc>
          <w:tcPr>
            <w:tcW w:w="4536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8FDC29" w14:textId="46615642" w:rsidR="00637CDD" w:rsidRDefault="00637CDD" w:rsidP="008F57A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Have agreement from health board to undertake appraiser role</w:t>
            </w:r>
          </w:p>
          <w:p w14:paraId="68D7DCB2" w14:textId="275CB41A" w:rsidR="008F6F5F" w:rsidRDefault="00CC1A61" w:rsidP="008F57A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CC1A61">
              <w:t xml:space="preserve">Must be a qualified </w:t>
            </w:r>
            <w:r w:rsidRPr="0042141E">
              <w:rPr>
                <w:color w:val="4472C4" w:themeColor="accent1"/>
              </w:rPr>
              <w:t>GP</w:t>
            </w:r>
            <w:r>
              <w:t xml:space="preserve"> or </w:t>
            </w:r>
            <w:r w:rsidRPr="0042141E">
              <w:rPr>
                <w:color w:val="7030A0"/>
              </w:rPr>
              <w:t>medical practitioner</w:t>
            </w:r>
            <w:r w:rsidRPr="00CC1A61">
              <w:t xml:space="preserve"> with relevant post-qualification experience and a sound understanding of clinical governance. 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8EC4C" w14:textId="77777777" w:rsidR="008D4148" w:rsidRDefault="00BE6AA7" w:rsidP="005360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BE6AA7">
              <w:t>Involvement in medical education or training</w:t>
            </w:r>
          </w:p>
          <w:p w14:paraId="3C3A8709" w14:textId="7CA4026C" w:rsidR="00536040" w:rsidRDefault="00536040" w:rsidP="005360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Been appraised in Scot</w:t>
            </w:r>
            <w:r w:rsidR="005D1730">
              <w:t>land via SOAR at least once</w:t>
            </w:r>
          </w:p>
        </w:tc>
      </w:tr>
      <w:tr w:rsidR="008D4148" w14:paraId="39AAADE3" w14:textId="77777777" w:rsidTr="1D8C7751"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761931" w14:textId="38D6E554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Qualifications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/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Registration</w:t>
            </w:r>
          </w:p>
          <w:p w14:paraId="3B2318EF" w14:textId="77777777" w:rsidR="008D4148" w:rsidRPr="00D26EC0" w:rsidRDefault="008D4148" w:rsidP="008D4148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F26CC" w14:textId="77777777" w:rsidR="00ED7B62" w:rsidRDefault="00ED7B62" w:rsidP="00ED7B62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Medical Degree</w:t>
            </w:r>
          </w:p>
          <w:p w14:paraId="4A768209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Registered with the GMC</w:t>
            </w:r>
          </w:p>
          <w:p w14:paraId="727B1A31" w14:textId="4692114D" w:rsidR="00ED7B62" w:rsidRDefault="00ED7B62" w:rsidP="00ED7B62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GMC Licence to Practice</w:t>
            </w:r>
            <w:r w:rsidR="00923AAC">
              <w:t>*</w:t>
            </w:r>
          </w:p>
          <w:p w14:paraId="0A5365BC" w14:textId="77777777" w:rsidR="001820C5" w:rsidRDefault="00624CE5" w:rsidP="00404D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Completion of Apprais</w:t>
            </w:r>
            <w:r w:rsidR="00ED7B62">
              <w:t>er</w:t>
            </w:r>
            <w:r>
              <w:t xml:space="preserve"> Training</w:t>
            </w:r>
          </w:p>
          <w:p w14:paraId="27668791" w14:textId="77777777" w:rsidR="00792E90" w:rsidRDefault="00792E90" w:rsidP="00792E90"/>
          <w:p w14:paraId="14CFF684" w14:textId="77777777" w:rsidR="00792E90" w:rsidRPr="00BC137F" w:rsidRDefault="00792E90" w:rsidP="00792E90">
            <w:pPr>
              <w:rPr>
                <w:i/>
                <w:iCs/>
                <w:color w:val="4472C4" w:themeColor="accent1"/>
              </w:rPr>
            </w:pPr>
            <w:r w:rsidRPr="00BC137F">
              <w:rPr>
                <w:i/>
                <w:iCs/>
                <w:color w:val="4472C4" w:themeColor="accent1"/>
              </w:rPr>
              <w:t>For primary care (GP) appraisers:</w:t>
            </w:r>
          </w:p>
          <w:p w14:paraId="4C806B34" w14:textId="0930F335" w:rsidR="00792E90" w:rsidRPr="00404D40" w:rsidRDefault="00792E90" w:rsidP="00BC137F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BC137F">
              <w:rPr>
                <w:i/>
                <w:iCs/>
                <w:color w:val="4472C4" w:themeColor="accent1"/>
              </w:rPr>
              <w:t>MRCGP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D96AF" w14:textId="27DE437E" w:rsidR="008D4148" w:rsidRDefault="008D4148" w:rsidP="00923AAC"/>
        </w:tc>
      </w:tr>
      <w:tr w:rsidR="008D4148" w14:paraId="7875D5F2" w14:textId="77777777" w:rsidTr="1D8C7751"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33BD3" w14:textId="5961B8A8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Knowledge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/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Skills</w:t>
            </w: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59A8F" w14:textId="47105FB9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The interpersonal </w:t>
            </w:r>
            <w:r w:rsidR="001959DF">
              <w:t xml:space="preserve">and communication </w:t>
            </w:r>
            <w:r>
              <w:t>skills necessary to conducting an effective, supportive peer appraisal including skills in listening and giving effective feedback</w:t>
            </w:r>
            <w:r w:rsidR="00DB62F7">
              <w:t>.</w:t>
            </w:r>
          </w:p>
          <w:p w14:paraId="4C3744A7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Effective time management and general organisational skills.</w:t>
            </w:r>
          </w:p>
          <w:p w14:paraId="7F51994D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Able to word process, use email and browse internet resources.</w:t>
            </w:r>
          </w:p>
          <w:p w14:paraId="60278321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Able to write clear, succinct reports.</w:t>
            </w:r>
          </w:p>
          <w:p w14:paraId="56225322" w14:textId="5A35088F" w:rsidR="000338FA" w:rsidRDefault="000874B7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appraisal process</w:t>
            </w:r>
            <w:r w:rsidR="00DB62F7">
              <w:t>.</w:t>
            </w:r>
          </w:p>
          <w:p w14:paraId="46A23960" w14:textId="3F96334F" w:rsidR="000874B7" w:rsidRDefault="00CB6F26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revalidation process</w:t>
            </w:r>
            <w:r w:rsidR="00DB62F7">
              <w:t>.</w:t>
            </w:r>
          </w:p>
          <w:p w14:paraId="0CEAED90" w14:textId="003B43FB" w:rsidR="00CB6F26" w:rsidRDefault="0009596E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equality and diversity issues relevant to the role</w:t>
            </w:r>
            <w:r w:rsidR="00DB62F7">
              <w:t>.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71D7BE" w14:textId="77777777" w:rsidR="00F5614E" w:rsidRDefault="00F5614E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Giving feedback, providing challenge</w:t>
            </w:r>
          </w:p>
          <w:p w14:paraId="641C85A8" w14:textId="77777777" w:rsidR="00F5614E" w:rsidRDefault="004F5106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learning needs assessment</w:t>
            </w:r>
          </w:p>
          <w:p w14:paraId="46789007" w14:textId="77777777" w:rsidR="004F5106" w:rsidRDefault="008730A7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Knowledge of local professional development and education structures</w:t>
            </w:r>
          </w:p>
          <w:p w14:paraId="2BA873F9" w14:textId="09EE974C" w:rsidR="004F5106" w:rsidRDefault="004F5106" w:rsidP="00F07C5E"/>
        </w:tc>
      </w:tr>
      <w:tr w:rsidR="008D4148" w14:paraId="05F44164" w14:textId="77777777" w:rsidTr="1D8C7751"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91FA0C" w14:textId="63AAA6EF" w:rsidR="008D4148" w:rsidRPr="00D26EC0" w:rsidRDefault="004D3A4D" w:rsidP="008D4148">
            <w:pPr>
              <w:rPr>
                <w:b/>
                <w:bCs/>
              </w:rPr>
            </w:pPr>
            <w:r>
              <w:rPr>
                <w:b/>
                <w:bCs/>
              </w:rPr>
              <w:t>Other considerations</w:t>
            </w:r>
          </w:p>
        </w:tc>
        <w:tc>
          <w:tcPr>
            <w:tcW w:w="4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6CCC50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Credible with the local medical profession.</w:t>
            </w:r>
          </w:p>
          <w:p w14:paraId="44E6D2C2" w14:textId="5A73A784" w:rsidR="008D4148" w:rsidRDefault="00B81964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</w:t>
            </w:r>
            <w:r w:rsidR="008D4148">
              <w:t>ommitment to the principles of appraisal.</w:t>
            </w:r>
          </w:p>
          <w:p w14:paraId="66303112" w14:textId="70B260B3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Sensitivity to the issues likely to face colleagues and issues of confidentiality.</w:t>
            </w:r>
          </w:p>
          <w:p w14:paraId="61D75C26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Approachable.</w:t>
            </w:r>
          </w:p>
          <w:p w14:paraId="1DF70B21" w14:textId="1A7B6FC0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Willing to </w:t>
            </w:r>
            <w:r w:rsidR="005A7020">
              <w:t>work</w:t>
            </w:r>
            <w:r>
              <w:t xml:space="preserve"> constructively with colleagues reluctant to undergo appraisal.</w:t>
            </w:r>
          </w:p>
          <w:p w14:paraId="68A49FB2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Committed to own ongoing personal development.</w:t>
            </w:r>
          </w:p>
          <w:p w14:paraId="41D6C601" w14:textId="77777777" w:rsidR="00CB410B" w:rsidRDefault="004F34D0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Motivated and conscientious</w:t>
            </w:r>
          </w:p>
          <w:p w14:paraId="4A325D26" w14:textId="3F7398E3" w:rsidR="00FC1F8E" w:rsidRDefault="001C338F" w:rsidP="001C338F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Be</w:t>
            </w:r>
            <w:r w:rsidR="00921D7F">
              <w:t xml:space="preserve"> respect</w:t>
            </w:r>
            <w:r>
              <w:t>ful and professional to</w:t>
            </w:r>
            <w:r w:rsidR="00921D7F">
              <w:t xml:space="preserve"> colleagues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C5CE4" w14:textId="46E11821" w:rsidR="008D4148" w:rsidRDefault="0006385C" w:rsidP="008D4148">
            <w:pPr>
              <w:rPr>
                <w:color w:val="7030A0"/>
              </w:rPr>
            </w:pPr>
            <w:r w:rsidRPr="00CB5BC9">
              <w:t>Be comfortable with cross-specialty appraisals</w:t>
            </w:r>
          </w:p>
        </w:tc>
      </w:tr>
    </w:tbl>
    <w:p w14:paraId="3709A3AD" w14:textId="3AFDF43A" w:rsidR="00697BE7" w:rsidRPr="00CB5AF0" w:rsidRDefault="00923AAC" w:rsidP="1D8C7751">
      <w:pPr>
        <w:rPr>
          <w:i/>
          <w:iCs/>
          <w:sz w:val="20"/>
          <w:szCs w:val="20"/>
        </w:rPr>
      </w:pPr>
      <w:r w:rsidRPr="1D8C7751">
        <w:rPr>
          <w:i/>
          <w:iCs/>
          <w:sz w:val="20"/>
          <w:szCs w:val="20"/>
        </w:rPr>
        <w:t xml:space="preserve">* </w:t>
      </w:r>
      <w:r w:rsidR="00C41B4C">
        <w:rPr>
          <w:i/>
          <w:iCs/>
          <w:sz w:val="20"/>
          <w:szCs w:val="20"/>
        </w:rPr>
        <w:t xml:space="preserve">Please note, </w:t>
      </w:r>
      <w:r w:rsidR="00156044">
        <w:rPr>
          <w:i/>
          <w:iCs/>
          <w:sz w:val="20"/>
          <w:szCs w:val="20"/>
        </w:rPr>
        <w:t>c</w:t>
      </w:r>
      <w:r w:rsidRPr="1D8C7751">
        <w:rPr>
          <w:i/>
          <w:iCs/>
          <w:sz w:val="20"/>
          <w:szCs w:val="20"/>
        </w:rPr>
        <w:t xml:space="preserve">linically retired appraisers without a licence to practice </w:t>
      </w:r>
      <w:r w:rsidR="00CB5AF0" w:rsidRPr="1D8C7751">
        <w:rPr>
          <w:i/>
          <w:iCs/>
          <w:sz w:val="20"/>
          <w:szCs w:val="20"/>
        </w:rPr>
        <w:t>may find it difficult to indemnify themselves</w:t>
      </w:r>
      <w:r w:rsidR="00BE2338">
        <w:rPr>
          <w:i/>
          <w:iCs/>
          <w:sz w:val="20"/>
          <w:szCs w:val="20"/>
        </w:rPr>
        <w:t>.</w:t>
      </w:r>
    </w:p>
    <w:sectPr w:rsidR="00697BE7" w:rsidRPr="00CB5AF0" w:rsidSect="00D26EC0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03D0" w14:textId="77777777" w:rsidR="002B078E" w:rsidRDefault="002B078E" w:rsidP="00CC4178">
      <w:pPr>
        <w:spacing w:after="0" w:line="240" w:lineRule="auto"/>
      </w:pPr>
      <w:r>
        <w:separator/>
      </w:r>
    </w:p>
  </w:endnote>
  <w:endnote w:type="continuationSeparator" w:id="0">
    <w:p w14:paraId="3774E95B" w14:textId="77777777" w:rsidR="002B078E" w:rsidRDefault="002B078E" w:rsidP="00CC4178">
      <w:pPr>
        <w:spacing w:after="0" w:line="240" w:lineRule="auto"/>
      </w:pPr>
      <w:r>
        <w:continuationSeparator/>
      </w:r>
    </w:p>
  </w:endnote>
  <w:endnote w:type="continuationNotice" w:id="1">
    <w:p w14:paraId="144B4320" w14:textId="77777777" w:rsidR="002B078E" w:rsidRDefault="002B0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DCC9" w14:textId="77777777" w:rsidR="002B078E" w:rsidRDefault="002B078E" w:rsidP="00CC4178">
      <w:pPr>
        <w:spacing w:after="0" w:line="240" w:lineRule="auto"/>
      </w:pPr>
      <w:r>
        <w:separator/>
      </w:r>
    </w:p>
  </w:footnote>
  <w:footnote w:type="continuationSeparator" w:id="0">
    <w:p w14:paraId="5ADA86A9" w14:textId="77777777" w:rsidR="002B078E" w:rsidRDefault="002B078E" w:rsidP="00CC4178">
      <w:pPr>
        <w:spacing w:after="0" w:line="240" w:lineRule="auto"/>
      </w:pPr>
      <w:r>
        <w:continuationSeparator/>
      </w:r>
    </w:p>
  </w:footnote>
  <w:footnote w:type="continuationNotice" w:id="1">
    <w:p w14:paraId="4B0E9CCC" w14:textId="77777777" w:rsidR="002B078E" w:rsidRDefault="002B0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63FF" w14:textId="588CCF1F" w:rsidR="00D26EC0" w:rsidRDefault="00D26EC0" w:rsidP="00D26EC0">
    <w:pPr>
      <w:pStyle w:val="Header"/>
      <w:jc w:val="right"/>
    </w:pPr>
    <w:r>
      <w:rPr>
        <w:noProof/>
      </w:rPr>
      <w:drawing>
        <wp:inline distT="0" distB="0" distL="0" distR="0" wp14:anchorId="5809AD0E" wp14:editId="0640E973">
          <wp:extent cx="1784985" cy="772795"/>
          <wp:effectExtent l="0" t="0" r="0" b="0"/>
          <wp:docPr id="5" name="Picture 5" descr="ma-logo-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348A1D2" wp14:editId="14749BE1">
          <wp:extent cx="843915" cy="843915"/>
          <wp:effectExtent l="0" t="0" r="0" b="0"/>
          <wp:docPr id="6" name="Picture 6" descr="NES_2col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6EF"/>
    <w:multiLevelType w:val="hybridMultilevel"/>
    <w:tmpl w:val="2178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C00"/>
    <w:multiLevelType w:val="hybridMultilevel"/>
    <w:tmpl w:val="A150F29C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3026"/>
    <w:multiLevelType w:val="hybridMultilevel"/>
    <w:tmpl w:val="BFB61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B82"/>
    <w:multiLevelType w:val="hybridMultilevel"/>
    <w:tmpl w:val="8886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3EB"/>
    <w:multiLevelType w:val="hybridMultilevel"/>
    <w:tmpl w:val="CEC2A5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6904742"/>
    <w:multiLevelType w:val="hybridMultilevel"/>
    <w:tmpl w:val="A4724252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3960"/>
    <w:multiLevelType w:val="hybridMultilevel"/>
    <w:tmpl w:val="9C1C7F64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568A"/>
    <w:multiLevelType w:val="hybridMultilevel"/>
    <w:tmpl w:val="51349F7E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1835"/>
    <w:multiLevelType w:val="hybridMultilevel"/>
    <w:tmpl w:val="1BE2267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3F6F"/>
    <w:multiLevelType w:val="hybridMultilevel"/>
    <w:tmpl w:val="8898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C6418"/>
    <w:multiLevelType w:val="hybridMultilevel"/>
    <w:tmpl w:val="FB7C5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73FB"/>
    <w:multiLevelType w:val="hybridMultilevel"/>
    <w:tmpl w:val="0F9E790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0E73"/>
    <w:multiLevelType w:val="hybridMultilevel"/>
    <w:tmpl w:val="8F94CC8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8791">
    <w:abstractNumId w:val="2"/>
  </w:num>
  <w:num w:numId="2" w16cid:durableId="1978952278">
    <w:abstractNumId w:val="10"/>
  </w:num>
  <w:num w:numId="3" w16cid:durableId="139613036">
    <w:abstractNumId w:val="0"/>
  </w:num>
  <w:num w:numId="4" w16cid:durableId="1052314339">
    <w:abstractNumId w:val="4"/>
  </w:num>
  <w:num w:numId="5" w16cid:durableId="1335575024">
    <w:abstractNumId w:val="3"/>
  </w:num>
  <w:num w:numId="6" w16cid:durableId="200023180">
    <w:abstractNumId w:val="11"/>
  </w:num>
  <w:num w:numId="7" w16cid:durableId="337781364">
    <w:abstractNumId w:val="1"/>
  </w:num>
  <w:num w:numId="8" w16cid:durableId="300769986">
    <w:abstractNumId w:val="12"/>
  </w:num>
  <w:num w:numId="9" w16cid:durableId="297998540">
    <w:abstractNumId w:val="7"/>
  </w:num>
  <w:num w:numId="10" w16cid:durableId="2048672984">
    <w:abstractNumId w:val="8"/>
  </w:num>
  <w:num w:numId="11" w16cid:durableId="562643277">
    <w:abstractNumId w:val="6"/>
  </w:num>
  <w:num w:numId="12" w16cid:durableId="1266883727">
    <w:abstractNumId w:val="5"/>
  </w:num>
  <w:num w:numId="13" w16cid:durableId="1564871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8"/>
    <w:rsid w:val="000010EC"/>
    <w:rsid w:val="0001496D"/>
    <w:rsid w:val="00022E7E"/>
    <w:rsid w:val="0003196F"/>
    <w:rsid w:val="000338FA"/>
    <w:rsid w:val="000339EA"/>
    <w:rsid w:val="00035138"/>
    <w:rsid w:val="00040D63"/>
    <w:rsid w:val="00040F79"/>
    <w:rsid w:val="00042CB0"/>
    <w:rsid w:val="0005082A"/>
    <w:rsid w:val="00052C5B"/>
    <w:rsid w:val="00060A15"/>
    <w:rsid w:val="000611A2"/>
    <w:rsid w:val="0006385C"/>
    <w:rsid w:val="0007047F"/>
    <w:rsid w:val="000874B7"/>
    <w:rsid w:val="00090031"/>
    <w:rsid w:val="00091210"/>
    <w:rsid w:val="0009596E"/>
    <w:rsid w:val="000A6C26"/>
    <w:rsid w:val="000A75BF"/>
    <w:rsid w:val="000B2F52"/>
    <w:rsid w:val="000B4EB3"/>
    <w:rsid w:val="000C02F9"/>
    <w:rsid w:val="000C64A4"/>
    <w:rsid w:val="000D5C1A"/>
    <w:rsid w:val="000D6AF3"/>
    <w:rsid w:val="000E1CFC"/>
    <w:rsid w:val="000E4973"/>
    <w:rsid w:val="000E6AB8"/>
    <w:rsid w:val="000E6B38"/>
    <w:rsid w:val="000F0C22"/>
    <w:rsid w:val="000F44F2"/>
    <w:rsid w:val="00100FD6"/>
    <w:rsid w:val="001038F0"/>
    <w:rsid w:val="0010532B"/>
    <w:rsid w:val="00106C2C"/>
    <w:rsid w:val="00111720"/>
    <w:rsid w:val="00113B18"/>
    <w:rsid w:val="00121257"/>
    <w:rsid w:val="0012286C"/>
    <w:rsid w:val="001239E3"/>
    <w:rsid w:val="00131334"/>
    <w:rsid w:val="00135C81"/>
    <w:rsid w:val="001370F8"/>
    <w:rsid w:val="00137D1A"/>
    <w:rsid w:val="00140772"/>
    <w:rsid w:val="00140FDA"/>
    <w:rsid w:val="00142059"/>
    <w:rsid w:val="001449FF"/>
    <w:rsid w:val="0014568E"/>
    <w:rsid w:val="00150E87"/>
    <w:rsid w:val="00150FCC"/>
    <w:rsid w:val="00152E27"/>
    <w:rsid w:val="00156044"/>
    <w:rsid w:val="00163F63"/>
    <w:rsid w:val="0016684C"/>
    <w:rsid w:val="00171F68"/>
    <w:rsid w:val="00172BA1"/>
    <w:rsid w:val="0017582B"/>
    <w:rsid w:val="00177379"/>
    <w:rsid w:val="001820C5"/>
    <w:rsid w:val="00182859"/>
    <w:rsid w:val="00184EC7"/>
    <w:rsid w:val="00187593"/>
    <w:rsid w:val="001875F0"/>
    <w:rsid w:val="0019117C"/>
    <w:rsid w:val="001959DF"/>
    <w:rsid w:val="001A071C"/>
    <w:rsid w:val="001B23CB"/>
    <w:rsid w:val="001B41A7"/>
    <w:rsid w:val="001C338F"/>
    <w:rsid w:val="001C4DA1"/>
    <w:rsid w:val="001C77A1"/>
    <w:rsid w:val="001D04B4"/>
    <w:rsid w:val="001E2BD6"/>
    <w:rsid w:val="001E3C82"/>
    <w:rsid w:val="001F7A38"/>
    <w:rsid w:val="00203576"/>
    <w:rsid w:val="002062C3"/>
    <w:rsid w:val="00211861"/>
    <w:rsid w:val="002163C4"/>
    <w:rsid w:val="002231A2"/>
    <w:rsid w:val="00223400"/>
    <w:rsid w:val="00231609"/>
    <w:rsid w:val="0023223A"/>
    <w:rsid w:val="00246CB3"/>
    <w:rsid w:val="00247A69"/>
    <w:rsid w:val="00250397"/>
    <w:rsid w:val="00253A62"/>
    <w:rsid w:val="002571B9"/>
    <w:rsid w:val="00262979"/>
    <w:rsid w:val="00266B28"/>
    <w:rsid w:val="00281F49"/>
    <w:rsid w:val="0028625C"/>
    <w:rsid w:val="002900AC"/>
    <w:rsid w:val="002A3627"/>
    <w:rsid w:val="002B078E"/>
    <w:rsid w:val="002B49DF"/>
    <w:rsid w:val="002D4A05"/>
    <w:rsid w:val="002E0AA5"/>
    <w:rsid w:val="002E49E6"/>
    <w:rsid w:val="002E7385"/>
    <w:rsid w:val="002E7BE2"/>
    <w:rsid w:val="002F6456"/>
    <w:rsid w:val="003034A4"/>
    <w:rsid w:val="003034BB"/>
    <w:rsid w:val="0031095B"/>
    <w:rsid w:val="00310DB0"/>
    <w:rsid w:val="00311DE8"/>
    <w:rsid w:val="00315CA5"/>
    <w:rsid w:val="00326DE9"/>
    <w:rsid w:val="00335EF3"/>
    <w:rsid w:val="003407C3"/>
    <w:rsid w:val="00346726"/>
    <w:rsid w:val="003515D6"/>
    <w:rsid w:val="00352370"/>
    <w:rsid w:val="003666FC"/>
    <w:rsid w:val="00371924"/>
    <w:rsid w:val="00372E53"/>
    <w:rsid w:val="003778EF"/>
    <w:rsid w:val="00377DE7"/>
    <w:rsid w:val="0038291B"/>
    <w:rsid w:val="00387BAB"/>
    <w:rsid w:val="00390FAB"/>
    <w:rsid w:val="00392AEF"/>
    <w:rsid w:val="003978F5"/>
    <w:rsid w:val="00397DA0"/>
    <w:rsid w:val="003A5A13"/>
    <w:rsid w:val="003A5C22"/>
    <w:rsid w:val="003A7984"/>
    <w:rsid w:val="003B5B3E"/>
    <w:rsid w:val="003B63C1"/>
    <w:rsid w:val="003C13A7"/>
    <w:rsid w:val="003D0D46"/>
    <w:rsid w:val="003D1921"/>
    <w:rsid w:val="003D5F21"/>
    <w:rsid w:val="003D6C27"/>
    <w:rsid w:val="003E2DC5"/>
    <w:rsid w:val="003E579D"/>
    <w:rsid w:val="003E639A"/>
    <w:rsid w:val="003E67DD"/>
    <w:rsid w:val="003F3529"/>
    <w:rsid w:val="003F38FC"/>
    <w:rsid w:val="003F41C2"/>
    <w:rsid w:val="003F60C8"/>
    <w:rsid w:val="003F7A83"/>
    <w:rsid w:val="00404D40"/>
    <w:rsid w:val="00411CAE"/>
    <w:rsid w:val="0041567F"/>
    <w:rsid w:val="0042141E"/>
    <w:rsid w:val="00424AD4"/>
    <w:rsid w:val="00426CF8"/>
    <w:rsid w:val="00432347"/>
    <w:rsid w:val="00437FBB"/>
    <w:rsid w:val="00440021"/>
    <w:rsid w:val="00455439"/>
    <w:rsid w:val="00457DA9"/>
    <w:rsid w:val="00460A62"/>
    <w:rsid w:val="00463485"/>
    <w:rsid w:val="004649F2"/>
    <w:rsid w:val="00473EA4"/>
    <w:rsid w:val="00477A3C"/>
    <w:rsid w:val="004808EE"/>
    <w:rsid w:val="004829B7"/>
    <w:rsid w:val="0048323A"/>
    <w:rsid w:val="00484266"/>
    <w:rsid w:val="004856B4"/>
    <w:rsid w:val="00485AB1"/>
    <w:rsid w:val="00492A45"/>
    <w:rsid w:val="004A25B3"/>
    <w:rsid w:val="004A4AD8"/>
    <w:rsid w:val="004A6C74"/>
    <w:rsid w:val="004B2A6F"/>
    <w:rsid w:val="004B2E3D"/>
    <w:rsid w:val="004B38EE"/>
    <w:rsid w:val="004B438B"/>
    <w:rsid w:val="004B486F"/>
    <w:rsid w:val="004B6B9B"/>
    <w:rsid w:val="004C214B"/>
    <w:rsid w:val="004C49AE"/>
    <w:rsid w:val="004D26BB"/>
    <w:rsid w:val="004D3A4D"/>
    <w:rsid w:val="004D50AC"/>
    <w:rsid w:val="004D580B"/>
    <w:rsid w:val="004E0250"/>
    <w:rsid w:val="004E690E"/>
    <w:rsid w:val="004F2B78"/>
    <w:rsid w:val="004F34D0"/>
    <w:rsid w:val="004F5106"/>
    <w:rsid w:val="004F56BB"/>
    <w:rsid w:val="004F7D30"/>
    <w:rsid w:val="00500B83"/>
    <w:rsid w:val="005058FC"/>
    <w:rsid w:val="00507C99"/>
    <w:rsid w:val="005131C8"/>
    <w:rsid w:val="00515526"/>
    <w:rsid w:val="00523747"/>
    <w:rsid w:val="00526935"/>
    <w:rsid w:val="00536040"/>
    <w:rsid w:val="005406E9"/>
    <w:rsid w:val="005417A0"/>
    <w:rsid w:val="00542BF4"/>
    <w:rsid w:val="00546F5E"/>
    <w:rsid w:val="00555CA6"/>
    <w:rsid w:val="00564279"/>
    <w:rsid w:val="00575452"/>
    <w:rsid w:val="005833AA"/>
    <w:rsid w:val="0058605C"/>
    <w:rsid w:val="00591BF0"/>
    <w:rsid w:val="005A0736"/>
    <w:rsid w:val="005A66C0"/>
    <w:rsid w:val="005A7020"/>
    <w:rsid w:val="005B0B82"/>
    <w:rsid w:val="005B0ECD"/>
    <w:rsid w:val="005B7491"/>
    <w:rsid w:val="005C6F31"/>
    <w:rsid w:val="005D1730"/>
    <w:rsid w:val="005D2296"/>
    <w:rsid w:val="005D77F3"/>
    <w:rsid w:val="005F0BD2"/>
    <w:rsid w:val="005F33C2"/>
    <w:rsid w:val="005F36FA"/>
    <w:rsid w:val="005F54BB"/>
    <w:rsid w:val="00601416"/>
    <w:rsid w:val="006038F8"/>
    <w:rsid w:val="00605D4C"/>
    <w:rsid w:val="006141F9"/>
    <w:rsid w:val="00621023"/>
    <w:rsid w:val="0062159A"/>
    <w:rsid w:val="00624BDF"/>
    <w:rsid w:val="00624CE5"/>
    <w:rsid w:val="006278E2"/>
    <w:rsid w:val="00637CDD"/>
    <w:rsid w:val="00640E27"/>
    <w:rsid w:val="00652A62"/>
    <w:rsid w:val="00653BAF"/>
    <w:rsid w:val="00653C2B"/>
    <w:rsid w:val="00655429"/>
    <w:rsid w:val="00660207"/>
    <w:rsid w:val="006675BB"/>
    <w:rsid w:val="00670403"/>
    <w:rsid w:val="00672D5D"/>
    <w:rsid w:val="0068407D"/>
    <w:rsid w:val="00684B43"/>
    <w:rsid w:val="00690AA6"/>
    <w:rsid w:val="00695CF8"/>
    <w:rsid w:val="006960A3"/>
    <w:rsid w:val="00697BE7"/>
    <w:rsid w:val="006A49B9"/>
    <w:rsid w:val="006A7B01"/>
    <w:rsid w:val="006B06F4"/>
    <w:rsid w:val="006B1049"/>
    <w:rsid w:val="006B1511"/>
    <w:rsid w:val="006C5D5B"/>
    <w:rsid w:val="006D0A01"/>
    <w:rsid w:val="006E2180"/>
    <w:rsid w:val="006E4FA7"/>
    <w:rsid w:val="006E6B5A"/>
    <w:rsid w:val="006F21A7"/>
    <w:rsid w:val="00706F8C"/>
    <w:rsid w:val="0070758F"/>
    <w:rsid w:val="00707686"/>
    <w:rsid w:val="00722B9D"/>
    <w:rsid w:val="00723A47"/>
    <w:rsid w:val="00723B67"/>
    <w:rsid w:val="00725392"/>
    <w:rsid w:val="00737C21"/>
    <w:rsid w:val="0074093B"/>
    <w:rsid w:val="0074773C"/>
    <w:rsid w:val="00751614"/>
    <w:rsid w:val="00754254"/>
    <w:rsid w:val="00755C9D"/>
    <w:rsid w:val="00761EA9"/>
    <w:rsid w:val="00771A89"/>
    <w:rsid w:val="0077366A"/>
    <w:rsid w:val="00782675"/>
    <w:rsid w:val="00792E90"/>
    <w:rsid w:val="007A36E6"/>
    <w:rsid w:val="007A5D9A"/>
    <w:rsid w:val="007B29CB"/>
    <w:rsid w:val="007B438F"/>
    <w:rsid w:val="007B48A3"/>
    <w:rsid w:val="007C35BF"/>
    <w:rsid w:val="007C36DF"/>
    <w:rsid w:val="007C39B1"/>
    <w:rsid w:val="007C55FC"/>
    <w:rsid w:val="007C5B9E"/>
    <w:rsid w:val="007E31F2"/>
    <w:rsid w:val="007E3516"/>
    <w:rsid w:val="007F0085"/>
    <w:rsid w:val="007F4BEE"/>
    <w:rsid w:val="007F517B"/>
    <w:rsid w:val="0080545F"/>
    <w:rsid w:val="00806A80"/>
    <w:rsid w:val="0081301D"/>
    <w:rsid w:val="00816353"/>
    <w:rsid w:val="0081752B"/>
    <w:rsid w:val="00824ED7"/>
    <w:rsid w:val="008306F9"/>
    <w:rsid w:val="00833142"/>
    <w:rsid w:val="00834142"/>
    <w:rsid w:val="008357EA"/>
    <w:rsid w:val="008469A9"/>
    <w:rsid w:val="00851F38"/>
    <w:rsid w:val="008520CF"/>
    <w:rsid w:val="00853C2A"/>
    <w:rsid w:val="008601F7"/>
    <w:rsid w:val="0086243C"/>
    <w:rsid w:val="0086432B"/>
    <w:rsid w:val="00870535"/>
    <w:rsid w:val="008730A7"/>
    <w:rsid w:val="0087410A"/>
    <w:rsid w:val="0087646A"/>
    <w:rsid w:val="008837F7"/>
    <w:rsid w:val="00885185"/>
    <w:rsid w:val="0089288E"/>
    <w:rsid w:val="00893C94"/>
    <w:rsid w:val="00895C71"/>
    <w:rsid w:val="00896650"/>
    <w:rsid w:val="00896663"/>
    <w:rsid w:val="008B127C"/>
    <w:rsid w:val="008B533E"/>
    <w:rsid w:val="008C0F96"/>
    <w:rsid w:val="008D4148"/>
    <w:rsid w:val="008D44A7"/>
    <w:rsid w:val="008E1163"/>
    <w:rsid w:val="008E51DD"/>
    <w:rsid w:val="008E532F"/>
    <w:rsid w:val="008E7D1D"/>
    <w:rsid w:val="008F0D47"/>
    <w:rsid w:val="008F4569"/>
    <w:rsid w:val="008F57A0"/>
    <w:rsid w:val="008F6F5F"/>
    <w:rsid w:val="008F74B0"/>
    <w:rsid w:val="00906175"/>
    <w:rsid w:val="0091452E"/>
    <w:rsid w:val="00921375"/>
    <w:rsid w:val="00921D7F"/>
    <w:rsid w:val="00923AAC"/>
    <w:rsid w:val="00925F93"/>
    <w:rsid w:val="0093312D"/>
    <w:rsid w:val="00933DB3"/>
    <w:rsid w:val="00934F6D"/>
    <w:rsid w:val="00940654"/>
    <w:rsid w:val="009410F4"/>
    <w:rsid w:val="00942CE7"/>
    <w:rsid w:val="0094391A"/>
    <w:rsid w:val="00945BF4"/>
    <w:rsid w:val="009462AE"/>
    <w:rsid w:val="00955483"/>
    <w:rsid w:val="00956AC7"/>
    <w:rsid w:val="009609A6"/>
    <w:rsid w:val="00966058"/>
    <w:rsid w:val="0097078F"/>
    <w:rsid w:val="0097142B"/>
    <w:rsid w:val="00983A29"/>
    <w:rsid w:val="00987936"/>
    <w:rsid w:val="009A00E7"/>
    <w:rsid w:val="009A292B"/>
    <w:rsid w:val="009A5660"/>
    <w:rsid w:val="009A7327"/>
    <w:rsid w:val="009C2AB4"/>
    <w:rsid w:val="009C2E79"/>
    <w:rsid w:val="009D4242"/>
    <w:rsid w:val="009E1376"/>
    <w:rsid w:val="009E7F2D"/>
    <w:rsid w:val="009F388F"/>
    <w:rsid w:val="00A15957"/>
    <w:rsid w:val="00A16876"/>
    <w:rsid w:val="00A17B95"/>
    <w:rsid w:val="00A24755"/>
    <w:rsid w:val="00A25872"/>
    <w:rsid w:val="00A30C2E"/>
    <w:rsid w:val="00A30E66"/>
    <w:rsid w:val="00A42DE5"/>
    <w:rsid w:val="00A43BE6"/>
    <w:rsid w:val="00A50657"/>
    <w:rsid w:val="00A51FE6"/>
    <w:rsid w:val="00A531E4"/>
    <w:rsid w:val="00A70842"/>
    <w:rsid w:val="00A72E99"/>
    <w:rsid w:val="00A8589F"/>
    <w:rsid w:val="00A9108A"/>
    <w:rsid w:val="00A92835"/>
    <w:rsid w:val="00A93A29"/>
    <w:rsid w:val="00A94328"/>
    <w:rsid w:val="00A973B2"/>
    <w:rsid w:val="00A979AE"/>
    <w:rsid w:val="00AA113F"/>
    <w:rsid w:val="00AA185C"/>
    <w:rsid w:val="00AA1F4A"/>
    <w:rsid w:val="00AA5C49"/>
    <w:rsid w:val="00AB4315"/>
    <w:rsid w:val="00AB4AB2"/>
    <w:rsid w:val="00AB5E30"/>
    <w:rsid w:val="00AB6B5A"/>
    <w:rsid w:val="00AD0A6B"/>
    <w:rsid w:val="00AD4A4F"/>
    <w:rsid w:val="00AD61CE"/>
    <w:rsid w:val="00AE390D"/>
    <w:rsid w:val="00AE5596"/>
    <w:rsid w:val="00AE7612"/>
    <w:rsid w:val="00AF6596"/>
    <w:rsid w:val="00AF6D9B"/>
    <w:rsid w:val="00AF6FE6"/>
    <w:rsid w:val="00B00A0F"/>
    <w:rsid w:val="00B0601F"/>
    <w:rsid w:val="00B146B1"/>
    <w:rsid w:val="00B24A98"/>
    <w:rsid w:val="00B25DD8"/>
    <w:rsid w:val="00B30CB0"/>
    <w:rsid w:val="00B32124"/>
    <w:rsid w:val="00B355AE"/>
    <w:rsid w:val="00B3751A"/>
    <w:rsid w:val="00B40646"/>
    <w:rsid w:val="00B40CCB"/>
    <w:rsid w:val="00B42849"/>
    <w:rsid w:val="00B429D7"/>
    <w:rsid w:val="00B5141D"/>
    <w:rsid w:val="00B52DF6"/>
    <w:rsid w:val="00B62FBE"/>
    <w:rsid w:val="00B64BB3"/>
    <w:rsid w:val="00B66FD8"/>
    <w:rsid w:val="00B81964"/>
    <w:rsid w:val="00B822A7"/>
    <w:rsid w:val="00B828E7"/>
    <w:rsid w:val="00B87F1D"/>
    <w:rsid w:val="00B92901"/>
    <w:rsid w:val="00B93CB8"/>
    <w:rsid w:val="00B956E6"/>
    <w:rsid w:val="00B96E09"/>
    <w:rsid w:val="00BA5C1F"/>
    <w:rsid w:val="00BA7EA8"/>
    <w:rsid w:val="00BB03BA"/>
    <w:rsid w:val="00BB076B"/>
    <w:rsid w:val="00BB292C"/>
    <w:rsid w:val="00BB2E6A"/>
    <w:rsid w:val="00BB3124"/>
    <w:rsid w:val="00BB38D3"/>
    <w:rsid w:val="00BC02AD"/>
    <w:rsid w:val="00BC0D99"/>
    <w:rsid w:val="00BC137F"/>
    <w:rsid w:val="00BC2879"/>
    <w:rsid w:val="00BC5158"/>
    <w:rsid w:val="00BC708E"/>
    <w:rsid w:val="00BC732F"/>
    <w:rsid w:val="00BC78B6"/>
    <w:rsid w:val="00BD244F"/>
    <w:rsid w:val="00BD27F2"/>
    <w:rsid w:val="00BE0D00"/>
    <w:rsid w:val="00BE0ED3"/>
    <w:rsid w:val="00BE2338"/>
    <w:rsid w:val="00BE2665"/>
    <w:rsid w:val="00BE2DF5"/>
    <w:rsid w:val="00BE6AA7"/>
    <w:rsid w:val="00BF1A5E"/>
    <w:rsid w:val="00BF5462"/>
    <w:rsid w:val="00C056CC"/>
    <w:rsid w:val="00C15E1E"/>
    <w:rsid w:val="00C20DB9"/>
    <w:rsid w:val="00C23557"/>
    <w:rsid w:val="00C37E3E"/>
    <w:rsid w:val="00C41B4C"/>
    <w:rsid w:val="00C42F80"/>
    <w:rsid w:val="00C4541C"/>
    <w:rsid w:val="00C5421C"/>
    <w:rsid w:val="00C55D95"/>
    <w:rsid w:val="00C57701"/>
    <w:rsid w:val="00C65DBA"/>
    <w:rsid w:val="00C674AA"/>
    <w:rsid w:val="00C7043F"/>
    <w:rsid w:val="00C719FB"/>
    <w:rsid w:val="00C72A79"/>
    <w:rsid w:val="00C73D79"/>
    <w:rsid w:val="00C805CF"/>
    <w:rsid w:val="00C84230"/>
    <w:rsid w:val="00C857CB"/>
    <w:rsid w:val="00C95490"/>
    <w:rsid w:val="00C964C4"/>
    <w:rsid w:val="00C9685D"/>
    <w:rsid w:val="00CA1027"/>
    <w:rsid w:val="00CA19A1"/>
    <w:rsid w:val="00CA631D"/>
    <w:rsid w:val="00CB2C8B"/>
    <w:rsid w:val="00CB410B"/>
    <w:rsid w:val="00CB55D6"/>
    <w:rsid w:val="00CB5AF0"/>
    <w:rsid w:val="00CB5BC9"/>
    <w:rsid w:val="00CB66DD"/>
    <w:rsid w:val="00CB6F26"/>
    <w:rsid w:val="00CB7423"/>
    <w:rsid w:val="00CB7485"/>
    <w:rsid w:val="00CC1A61"/>
    <w:rsid w:val="00CC4178"/>
    <w:rsid w:val="00CC430C"/>
    <w:rsid w:val="00CE1456"/>
    <w:rsid w:val="00CE54C9"/>
    <w:rsid w:val="00CF1117"/>
    <w:rsid w:val="00CF5B4D"/>
    <w:rsid w:val="00CF7FDE"/>
    <w:rsid w:val="00D01FBB"/>
    <w:rsid w:val="00D15F15"/>
    <w:rsid w:val="00D17220"/>
    <w:rsid w:val="00D208B1"/>
    <w:rsid w:val="00D26EC0"/>
    <w:rsid w:val="00D35373"/>
    <w:rsid w:val="00D3652E"/>
    <w:rsid w:val="00D36F2D"/>
    <w:rsid w:val="00D41352"/>
    <w:rsid w:val="00D47381"/>
    <w:rsid w:val="00D4750F"/>
    <w:rsid w:val="00D54F51"/>
    <w:rsid w:val="00D55CFC"/>
    <w:rsid w:val="00D614C6"/>
    <w:rsid w:val="00D61716"/>
    <w:rsid w:val="00D63426"/>
    <w:rsid w:val="00D656A6"/>
    <w:rsid w:val="00D74077"/>
    <w:rsid w:val="00D7524C"/>
    <w:rsid w:val="00D82CA1"/>
    <w:rsid w:val="00D86841"/>
    <w:rsid w:val="00D95453"/>
    <w:rsid w:val="00DB1B0B"/>
    <w:rsid w:val="00DB5529"/>
    <w:rsid w:val="00DB62F7"/>
    <w:rsid w:val="00DB6DCB"/>
    <w:rsid w:val="00DC6AF9"/>
    <w:rsid w:val="00DD158D"/>
    <w:rsid w:val="00DD2139"/>
    <w:rsid w:val="00DD6E56"/>
    <w:rsid w:val="00DE19A5"/>
    <w:rsid w:val="00DE57BA"/>
    <w:rsid w:val="00DF0124"/>
    <w:rsid w:val="00DF01C3"/>
    <w:rsid w:val="00DF1120"/>
    <w:rsid w:val="00DF14F6"/>
    <w:rsid w:val="00DF1F36"/>
    <w:rsid w:val="00DF330C"/>
    <w:rsid w:val="00DF3AF2"/>
    <w:rsid w:val="00DF4607"/>
    <w:rsid w:val="00DF70DC"/>
    <w:rsid w:val="00E006CF"/>
    <w:rsid w:val="00E17D5D"/>
    <w:rsid w:val="00E26708"/>
    <w:rsid w:val="00E33990"/>
    <w:rsid w:val="00E3519B"/>
    <w:rsid w:val="00E41238"/>
    <w:rsid w:val="00E50D6B"/>
    <w:rsid w:val="00E64054"/>
    <w:rsid w:val="00E66AF5"/>
    <w:rsid w:val="00E66E5F"/>
    <w:rsid w:val="00E71995"/>
    <w:rsid w:val="00E72B9B"/>
    <w:rsid w:val="00E75B8A"/>
    <w:rsid w:val="00E8020C"/>
    <w:rsid w:val="00E827BC"/>
    <w:rsid w:val="00E914D8"/>
    <w:rsid w:val="00E96557"/>
    <w:rsid w:val="00EA1108"/>
    <w:rsid w:val="00EA1FCD"/>
    <w:rsid w:val="00EA2041"/>
    <w:rsid w:val="00EA4ADB"/>
    <w:rsid w:val="00EA5F23"/>
    <w:rsid w:val="00EA6175"/>
    <w:rsid w:val="00EB31B6"/>
    <w:rsid w:val="00EB5CD7"/>
    <w:rsid w:val="00EC34A7"/>
    <w:rsid w:val="00EC6589"/>
    <w:rsid w:val="00EC71E3"/>
    <w:rsid w:val="00ED2FDB"/>
    <w:rsid w:val="00ED7B62"/>
    <w:rsid w:val="00ED7E7D"/>
    <w:rsid w:val="00ED7FE6"/>
    <w:rsid w:val="00EE25D9"/>
    <w:rsid w:val="00EE2DCE"/>
    <w:rsid w:val="00EF00F4"/>
    <w:rsid w:val="00EF20A8"/>
    <w:rsid w:val="00EF32B4"/>
    <w:rsid w:val="00EF3BB9"/>
    <w:rsid w:val="00F01F2A"/>
    <w:rsid w:val="00F02E88"/>
    <w:rsid w:val="00F04954"/>
    <w:rsid w:val="00F04C98"/>
    <w:rsid w:val="00F07C5E"/>
    <w:rsid w:val="00F12684"/>
    <w:rsid w:val="00F13706"/>
    <w:rsid w:val="00F15432"/>
    <w:rsid w:val="00F25AD4"/>
    <w:rsid w:val="00F30A4F"/>
    <w:rsid w:val="00F32950"/>
    <w:rsid w:val="00F3618D"/>
    <w:rsid w:val="00F41C5A"/>
    <w:rsid w:val="00F43D8E"/>
    <w:rsid w:val="00F51F91"/>
    <w:rsid w:val="00F5203D"/>
    <w:rsid w:val="00F5614E"/>
    <w:rsid w:val="00F5627D"/>
    <w:rsid w:val="00F56999"/>
    <w:rsid w:val="00F60D2B"/>
    <w:rsid w:val="00F70092"/>
    <w:rsid w:val="00F80F47"/>
    <w:rsid w:val="00F81E94"/>
    <w:rsid w:val="00F825DB"/>
    <w:rsid w:val="00F82A26"/>
    <w:rsid w:val="00F82AFB"/>
    <w:rsid w:val="00F8536D"/>
    <w:rsid w:val="00F8541B"/>
    <w:rsid w:val="00F86622"/>
    <w:rsid w:val="00F9122E"/>
    <w:rsid w:val="00FA148D"/>
    <w:rsid w:val="00FA285D"/>
    <w:rsid w:val="00FC0185"/>
    <w:rsid w:val="00FC1ECF"/>
    <w:rsid w:val="00FC1F8E"/>
    <w:rsid w:val="00FC30CA"/>
    <w:rsid w:val="00FC35BD"/>
    <w:rsid w:val="00FD54A6"/>
    <w:rsid w:val="00FD6A23"/>
    <w:rsid w:val="00FF1E1A"/>
    <w:rsid w:val="00FF416C"/>
    <w:rsid w:val="013E2608"/>
    <w:rsid w:val="037A03BB"/>
    <w:rsid w:val="03E6E8A4"/>
    <w:rsid w:val="04F15B88"/>
    <w:rsid w:val="054FF98D"/>
    <w:rsid w:val="05C22980"/>
    <w:rsid w:val="05D45745"/>
    <w:rsid w:val="0633DB80"/>
    <w:rsid w:val="086B0E83"/>
    <w:rsid w:val="08879A4F"/>
    <w:rsid w:val="08FC913F"/>
    <w:rsid w:val="09C7CB06"/>
    <w:rsid w:val="0B707B60"/>
    <w:rsid w:val="0BBF3B11"/>
    <w:rsid w:val="0EE0AE47"/>
    <w:rsid w:val="102C08D5"/>
    <w:rsid w:val="104DE816"/>
    <w:rsid w:val="11E12580"/>
    <w:rsid w:val="127C2A58"/>
    <w:rsid w:val="1898EC73"/>
    <w:rsid w:val="1AA3BE05"/>
    <w:rsid w:val="1C25F924"/>
    <w:rsid w:val="1D3EC334"/>
    <w:rsid w:val="1D8C7751"/>
    <w:rsid w:val="1EBE1646"/>
    <w:rsid w:val="1FC2893C"/>
    <w:rsid w:val="206F5A2A"/>
    <w:rsid w:val="23BFA23B"/>
    <w:rsid w:val="23FCDEAA"/>
    <w:rsid w:val="2424E748"/>
    <w:rsid w:val="245D30F9"/>
    <w:rsid w:val="26660B81"/>
    <w:rsid w:val="29DC2A3C"/>
    <w:rsid w:val="2D76182F"/>
    <w:rsid w:val="2E559C2F"/>
    <w:rsid w:val="2F38AFE3"/>
    <w:rsid w:val="2F477D4C"/>
    <w:rsid w:val="2FD19537"/>
    <w:rsid w:val="2FF0B4AA"/>
    <w:rsid w:val="356801B7"/>
    <w:rsid w:val="36C58346"/>
    <w:rsid w:val="36EDE6CB"/>
    <w:rsid w:val="3C3B2403"/>
    <w:rsid w:val="40B8067A"/>
    <w:rsid w:val="479C1B30"/>
    <w:rsid w:val="480DB8D5"/>
    <w:rsid w:val="4932328D"/>
    <w:rsid w:val="494B730D"/>
    <w:rsid w:val="49E2BC99"/>
    <w:rsid w:val="4A713CC1"/>
    <w:rsid w:val="4CE81A64"/>
    <w:rsid w:val="4D0E8115"/>
    <w:rsid w:val="4E01FB13"/>
    <w:rsid w:val="4E534B9F"/>
    <w:rsid w:val="4FB5A6D6"/>
    <w:rsid w:val="4FEF1C00"/>
    <w:rsid w:val="50B62A48"/>
    <w:rsid w:val="50C8C5AE"/>
    <w:rsid w:val="525AB078"/>
    <w:rsid w:val="52E93D30"/>
    <w:rsid w:val="5948A336"/>
    <w:rsid w:val="59886274"/>
    <w:rsid w:val="59F914C5"/>
    <w:rsid w:val="5A742CE2"/>
    <w:rsid w:val="5F1EF908"/>
    <w:rsid w:val="5F7C80DC"/>
    <w:rsid w:val="5FC0E053"/>
    <w:rsid w:val="66874E1A"/>
    <w:rsid w:val="6C5978B7"/>
    <w:rsid w:val="715D96BE"/>
    <w:rsid w:val="74F21705"/>
    <w:rsid w:val="75259F8E"/>
    <w:rsid w:val="77FC1245"/>
    <w:rsid w:val="782A001B"/>
    <w:rsid w:val="789CCAA0"/>
    <w:rsid w:val="78BC5D66"/>
    <w:rsid w:val="791983F2"/>
    <w:rsid w:val="7A35EFDB"/>
    <w:rsid w:val="7A43FB98"/>
    <w:rsid w:val="7BC78F13"/>
    <w:rsid w:val="7C78929A"/>
    <w:rsid w:val="7E1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B733"/>
  <w15:chartTrackingRefBased/>
  <w15:docId w15:val="{7D4A5645-7546-4185-8BEA-F2216D68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C4178"/>
  </w:style>
  <w:style w:type="paragraph" w:styleId="Footer">
    <w:name w:val="footer"/>
    <w:basedOn w:val="Normal"/>
    <w:link w:val="FooterChar"/>
    <w:uiPriority w:val="99"/>
    <w:unhideWhenUsed/>
    <w:rsid w:val="00CC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78"/>
  </w:style>
  <w:style w:type="paragraph" w:styleId="Title">
    <w:name w:val="Title"/>
    <w:basedOn w:val="Normal"/>
    <w:next w:val="Normal"/>
    <w:link w:val="TitleChar"/>
    <w:uiPriority w:val="10"/>
    <w:qFormat/>
    <w:rsid w:val="00CC4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17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26E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9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97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8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7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ar.appraisal.nes.scot.nhs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raisal.nes.scot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NAME xmlns="0cf4b3a6-91e3-43a9-a28b-3e6e49204d49" xsi:nil="true"/>
    <GMC xmlns="0cf4b3a6-91e3-43a9-a28b-3e6e49204d49" xsi:nil="true"/>
    <EMAIL xmlns="0cf4b3a6-91e3-43a9-a28b-3e6e49204d49" xsi:nil="true"/>
    <TaxCatchAll xmlns="5549f3f6-b7db-40ce-a15f-c10d2fdae267" xsi:nil="true"/>
    <LASTNAME xmlns="0cf4b3a6-91e3-43a9-a28b-3e6e49204d49" xsi:nil="true"/>
    <lcf76f155ced4ddcb4097134ff3c332f xmlns="0cf4b3a6-91e3-43a9-a28b-3e6e49204d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26" ma:contentTypeDescription="Create a new document." ma:contentTypeScope="" ma:versionID="aa96c69b98d8eab256193c68ff9a1515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5260b42df9dd86448a090d071c0b1e1f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FIRSTNAME" minOccurs="0"/>
                <xsd:element ref="ns3:LASTNAME" minOccurs="0"/>
                <xsd:element ref="ns3:GMC" minOccurs="0"/>
                <xsd:element ref="ns3:EMAI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FIRSTNAME" ma:index="27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28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GMC" ma:index="29" nillable="true" ma:displayName="GMC" ma:format="Dropdown" ma:internalName="GMC">
      <xsd:simpleType>
        <xsd:restriction base="dms:Text">
          <xsd:maxLength value="255"/>
        </xsd:restriction>
      </xsd:simpleType>
    </xsd:element>
    <xsd:element name="EMAIL" ma:index="30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79D4-C2A3-4193-9947-20AD3DE46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2885D-ACE9-4FA2-A114-A10B55D7EDD9}">
  <ds:schemaRefs>
    <ds:schemaRef ds:uri="http://schemas.microsoft.com/office/2006/metadata/properties"/>
    <ds:schemaRef ds:uri="http://schemas.microsoft.com/office/infopath/2007/PartnerControls"/>
    <ds:schemaRef ds:uri="0cf4b3a6-91e3-43a9-a28b-3e6e49204d49"/>
    <ds:schemaRef ds:uri="5549f3f6-b7db-40ce-a15f-c10d2fdae267"/>
  </ds:schemaRefs>
</ds:datastoreItem>
</file>

<file path=customXml/itemProps3.xml><?xml version="1.0" encoding="utf-8"?>
<ds:datastoreItem xmlns:ds="http://schemas.openxmlformats.org/officeDocument/2006/customXml" ds:itemID="{4513B315-4576-4C9C-AF43-DAD91EB34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05D12-0F98-4BA6-9759-022642DE1D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Links>
    <vt:vector size="12" baseType="variant"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https://soar.appraisal.nes.scot.nhs.uk/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https://www.appraisal.nes.scot.nhs.uk/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6</cp:revision>
  <dcterms:created xsi:type="dcterms:W3CDTF">2025-08-20T15:30:00Z</dcterms:created>
  <dcterms:modified xsi:type="dcterms:W3CDTF">2025-08-20T15:50:00Z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  <property fmtid="{D5CDD505-2E9C-101B-9397-08002B2CF9AE}" pid="3" name="MediaServiceImageTags">
    <vt:lpwstr/>
  </property>
</Properties>
</file>